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50A7" w14:textId="77777777" w:rsidR="00AF14C8" w:rsidRDefault="00AF14C8" w:rsidP="00AF14C8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92CF5E6" w14:textId="2239EAED" w:rsidR="00AF14C8" w:rsidRDefault="00AF14C8" w:rsidP="00AF14C8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143777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7CE27395" w14:textId="77777777" w:rsidR="00AF14C8" w:rsidRDefault="00AF14C8" w:rsidP="00AF14C8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6792513" w14:textId="77777777" w:rsidR="00AF14C8" w:rsidRDefault="00AF14C8" w:rsidP="00AF14C8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40900CD0" w14:textId="77777777" w:rsidR="00AF14C8" w:rsidRDefault="00AF14C8" w:rsidP="00AF14C8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71486944" w14:textId="77777777" w:rsidR="00AF14C8" w:rsidRPr="007657B7" w:rsidRDefault="00AF14C8" w:rsidP="00AF14C8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01FB5084" w14:textId="77777777" w:rsidR="00AF14C8" w:rsidRPr="007657B7" w:rsidRDefault="00AF14C8" w:rsidP="00AF14C8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214C8057" w14:textId="77777777" w:rsidR="00AF14C8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E45FC7" w14:textId="77777777" w:rsidR="00AF14C8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A3B1B6C" w14:textId="77777777" w:rsidR="00AF14C8" w:rsidRPr="00FF0BA5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897FF08" w14:textId="77777777" w:rsidR="00AF14C8" w:rsidRPr="007657B7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A1FDF52" w14:textId="77777777" w:rsidR="00AF14C8" w:rsidRPr="007657B7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3C75216" w14:textId="77777777" w:rsidR="00AF14C8" w:rsidRPr="007657B7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0A4F53B" w14:textId="77777777" w:rsidR="00AF14C8" w:rsidRPr="0040073F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36086BD" w14:textId="77777777" w:rsidR="00AF14C8" w:rsidRDefault="00AF14C8" w:rsidP="00AF14C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391DE43E" w14:textId="77777777" w:rsidR="00AF14C8" w:rsidRPr="008822DF" w:rsidRDefault="00AF14C8" w:rsidP="00AF14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AC9ECD3" w14:textId="77777777" w:rsidR="00AF14C8" w:rsidRPr="008822DF" w:rsidRDefault="00AF14C8" w:rsidP="00AF14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F8F2D60" w14:textId="77777777" w:rsidR="00AF14C8" w:rsidRPr="008822DF" w:rsidRDefault="00AF14C8" w:rsidP="00AF14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2CC83BA" w14:textId="77777777" w:rsidR="00AF14C8" w:rsidRPr="00DD0485" w:rsidRDefault="00AF14C8" w:rsidP="00AF14C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B22D03A" w14:textId="5B1BD550" w:rsidR="00B15B3B" w:rsidRPr="007F1D61" w:rsidRDefault="00AF14C8" w:rsidP="00AF14C8">
      <w:pPr>
        <w:spacing w:after="0"/>
        <w:ind w:right="4529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Pr="00DD0485">
        <w:rPr>
          <w:rFonts w:ascii="Times New Roman" w:hAnsi="Times New Roman"/>
          <w:b/>
          <w:i/>
          <w:iCs/>
          <w:sz w:val="28"/>
          <w:szCs w:val="28"/>
        </w:rPr>
        <w:t>24 ноября 2022 года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DD0485">
        <w:rPr>
          <w:rFonts w:ascii="Times New Roman" w:hAnsi="Times New Roman"/>
          <w:b/>
          <w:i/>
          <w:iCs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iCs/>
          <w:sz w:val="28"/>
          <w:szCs w:val="28"/>
        </w:rPr>
        <w:t>15-11-2022 «</w:t>
      </w:r>
      <w:r w:rsidR="00B15B3B"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О согласовании направления средств стимулирования управы Академического района города Москвы на проведение мероприятий по благоустройству 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на </w:t>
      </w:r>
      <w:r w:rsidR="00B15B3B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территори</w:t>
      </w:r>
      <w:r w:rsidR="00A52D14" w:rsidRPr="00A52D14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и</w:t>
      </w:r>
      <w:r w:rsidR="00B15B3B" w:rsidRPr="007F1D6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Академического района города Москвы за счет средств 2022 года</w:t>
      </w: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»</w:t>
      </w: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14990A" w14:textId="1B832019" w:rsidR="00B15B3B" w:rsidRDefault="00B15B3B" w:rsidP="00AF1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главы управы Академического района города Москвы от 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2 марта 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 № АК-08-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99/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F1D61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-СД-4 от 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6 марта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AF14C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года) о согласовании направления средств стимулирования управы Академического района города Москвы 2022 года на проведение мероприятий по благоустройству территорий Академического района города Москвы, </w:t>
      </w:r>
      <w:r w:rsidRPr="007F1D6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10731782" w14:textId="2A598116" w:rsidR="00AF14C8" w:rsidRDefault="00AF14C8" w:rsidP="00AF1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46B9FEEF" w14:textId="768D5B9D" w:rsidR="00AF14C8" w:rsidRDefault="00AF14C8" w:rsidP="00AF1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F14C8">
        <w:rPr>
          <w:rFonts w:ascii="Times New Roman" w:hAnsi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Pr="00AF1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Pr="00AF14C8">
        <w:rPr>
          <w:rFonts w:ascii="Times New Roman" w:hAnsi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F14C8">
        <w:rPr>
          <w:rFonts w:ascii="Times New Roman" w:hAnsi="Times New Roman"/>
          <w:color w:val="000000" w:themeColor="text1"/>
          <w:sz w:val="28"/>
          <w:szCs w:val="28"/>
        </w:rPr>
        <w:t xml:space="preserve"> в решение Совета депутатов муниципального округа Академический от 24 ноября 2022 года  № 15-11-2022 «О согласовании </w:t>
      </w:r>
      <w:r w:rsidRPr="00AF14C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за счет средств 2022 года»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8007E0A" w14:textId="05B6CD92" w:rsidR="00AF14C8" w:rsidRDefault="00AF14C8" w:rsidP="00AF14C8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пункте 1 решения слова «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>в сумме 111 26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 399 (Сто одиннадцать миллионов двести шестьдесят </w:t>
      </w:r>
      <w:r>
        <w:rPr>
          <w:rFonts w:ascii="Times New Roman" w:hAnsi="Times New Roman"/>
          <w:color w:val="000000" w:themeColor="text1"/>
          <w:sz w:val="28"/>
          <w:szCs w:val="28"/>
        </w:rPr>
        <w:t>две</w:t>
      </w:r>
      <w:r w:rsidRPr="007F1D61">
        <w:rPr>
          <w:rFonts w:ascii="Times New Roman" w:hAnsi="Times New Roman"/>
          <w:color w:val="000000" w:themeColor="text1"/>
          <w:sz w:val="28"/>
          <w:szCs w:val="28"/>
        </w:rPr>
        <w:t xml:space="preserve"> тысячи триста девяносто девять) рублей 84 копейки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на слова «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4E33ED" w:rsidRPr="004E33ED">
        <w:rPr>
          <w:rFonts w:ascii="Times New Roman" w:hAnsi="Times New Roman"/>
          <w:color w:val="000000" w:themeColor="text1"/>
          <w:sz w:val="28"/>
          <w:szCs w:val="28"/>
        </w:rPr>
        <w:t>109 967 755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(сто 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девять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миллионов девятьсот 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шестьдесят семь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тысяч 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сем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ьсот пятьдесят 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пят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ь) рублей 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копе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E33ED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03167E6" w14:textId="5A3ADEF4" w:rsidR="00AF14C8" w:rsidRPr="00AF14C8" w:rsidRDefault="00AF14C8" w:rsidP="00AF14C8">
      <w:pPr>
        <w:pStyle w:val="ac"/>
        <w:numPr>
          <w:ilvl w:val="1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изложить согласно приложению к настоящему решению. </w:t>
      </w:r>
    </w:p>
    <w:p w14:paraId="02F3EF61" w14:textId="77777777" w:rsidR="00B15B3B" w:rsidRPr="007F1D61" w:rsidRDefault="00B15B3B" w:rsidP="00AF14C8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</w:t>
      </w:r>
    </w:p>
    <w:p w14:paraId="633316AE" w14:textId="071032F2" w:rsidR="00B15B3B" w:rsidRPr="007F1D61" w:rsidRDefault="00B15B3B" w:rsidP="00AF14C8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6E619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E61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FA0521" w14:textId="77777777" w:rsidR="00B15B3B" w:rsidRPr="007F1D61" w:rsidRDefault="00B15B3B" w:rsidP="00AF14C8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47A38D64" w14:textId="77777777" w:rsidR="00B15B3B" w:rsidRPr="007F1D61" w:rsidRDefault="00B15B3B" w:rsidP="00AF14C8">
      <w:pPr>
        <w:pStyle w:val="ac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D61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70812E0" w14:textId="77777777" w:rsidR="00D13CA2" w:rsidRDefault="00D13CA2" w:rsidP="00AF14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709966" w14:textId="0B1533F9" w:rsidR="00195804" w:rsidRDefault="00195804" w:rsidP="00AF14C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96D7A" w14:textId="154BD7C2" w:rsidR="00AF14C8" w:rsidRDefault="00AF14C8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4BB1E660" w14:textId="47779845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4CEE1649" w14:textId="77777777" w:rsidR="00AF14C8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02DFC03A" w14:textId="73839F99" w:rsidR="006067D3" w:rsidRDefault="00AF14C8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6067D3">
        <w:rPr>
          <w:rFonts w:ascii="Times New Roman" w:hAnsi="Times New Roman"/>
          <w:sz w:val="28"/>
          <w:szCs w:val="28"/>
        </w:rPr>
        <w:t xml:space="preserve">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67088D8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CA3BBB5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.2022 № 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143777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04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4E33ED">
        <w:rPr>
          <w:rFonts w:ascii="Times New Roman" w:hAnsi="Times New Roman"/>
          <w:b/>
          <w:bCs/>
          <w:i/>
          <w:iCs/>
          <w:sz w:val="24"/>
          <w:szCs w:val="24"/>
        </w:rPr>
        <w:t>3-ПР</w:t>
      </w:r>
    </w:p>
    <w:p w14:paraId="006E2264" w14:textId="77777777" w:rsidR="00395EEA" w:rsidRPr="003F6976" w:rsidRDefault="00395EEA" w:rsidP="00395EEA">
      <w:pPr>
        <w:spacing w:after="0" w:line="240" w:lineRule="auto"/>
        <w:ind w:left="5954"/>
        <w:jc w:val="both"/>
        <w:rPr>
          <w:rFonts w:ascii="Times New Roman" w:eastAsiaTheme="minorHAnsi" w:hAnsi="Times New Roman" w:cstheme="minorBidi"/>
          <w:b/>
          <w:i/>
          <w:color w:val="000000" w:themeColor="text1"/>
          <w:sz w:val="24"/>
          <w:szCs w:val="24"/>
          <w:lang w:eastAsia="en-US"/>
        </w:rPr>
      </w:pPr>
    </w:p>
    <w:p w14:paraId="16095565" w14:textId="6AD4CFCC" w:rsidR="0081097B" w:rsidRDefault="0081097B" w:rsidP="0081097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Адресный перечень на проведение </w:t>
      </w:r>
      <w:r w:rsidRPr="007F1D61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мероприятий по благоустройству на территории Академического района города Москвы за счет средств стимулирования управы Академического района 2022 года</w:t>
      </w:r>
    </w:p>
    <w:p w14:paraId="0134A6AC" w14:textId="77777777" w:rsidR="0081097B" w:rsidRDefault="0081097B" w:rsidP="0081097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2244"/>
        <w:gridCol w:w="2098"/>
        <w:gridCol w:w="3397"/>
        <w:gridCol w:w="1708"/>
        <w:gridCol w:w="1374"/>
        <w:gridCol w:w="932"/>
        <w:gridCol w:w="2152"/>
      </w:tblGrid>
      <w:tr w:rsidR="004E33ED" w:rsidRPr="00A140EF" w14:paraId="33F781BD" w14:textId="77777777" w:rsidTr="003F2AE2">
        <w:trPr>
          <w:trHeight w:val="96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D2958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1B17FC86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F555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A5222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DC688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Объект благоустройства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3AA1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ID </w:t>
            </w: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4098E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Кол-во объектов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F68FA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S, 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AF0E0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Итоговая стоимость, руб. с НДС</w:t>
            </w:r>
          </w:p>
        </w:tc>
      </w:tr>
      <w:tr w:rsidR="004E33ED" w:rsidRPr="00A140EF" w14:paraId="5C59633B" w14:textId="77777777" w:rsidTr="003F2AE2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0AA0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парковых зон/скверов/объектов озеленения</w:t>
            </w:r>
          </w:p>
        </w:tc>
      </w:tr>
      <w:tr w:rsidR="004E33ED" w:rsidRPr="00A140EF" w14:paraId="676FF7C9" w14:textId="77777777" w:rsidTr="003F2AE2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0B6BB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F1E25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42ECF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48BF8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«Академический»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A1F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908913101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3E708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2EC22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A01A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45 016 680,65</w:t>
            </w:r>
          </w:p>
        </w:tc>
      </w:tr>
      <w:tr w:rsidR="004E33ED" w:rsidRPr="00A140EF" w14:paraId="0F24BE25" w14:textId="77777777" w:rsidTr="003F2AE2">
        <w:trPr>
          <w:trHeight w:val="454"/>
        </w:trPr>
        <w:tc>
          <w:tcPr>
            <w:tcW w:w="3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1BAE7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C0471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3125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9,22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9311F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45 016 680,65</w:t>
            </w:r>
          </w:p>
        </w:tc>
      </w:tr>
      <w:tr w:rsidR="004E33ED" w:rsidRPr="00A140EF" w14:paraId="6F1A9AE6" w14:textId="77777777" w:rsidTr="003F2AE2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F58B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4E33ED" w:rsidRPr="00A140EF" w14:paraId="13ED16D8" w14:textId="77777777" w:rsidTr="003F2AE2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55B85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4E1C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718D6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0BFC1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д.40 к.3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92C2D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155727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084C0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1A1BF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0,49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72116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20 089 090,78</w:t>
            </w:r>
          </w:p>
        </w:tc>
      </w:tr>
      <w:tr w:rsidR="004E33ED" w:rsidRPr="00A140EF" w14:paraId="46646C81" w14:textId="77777777" w:rsidTr="003F2AE2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22BBF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4F89B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23152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AD68D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Черемушкинская Б. ул., д.42 к.2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CF2A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149108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96656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D7B042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0,55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A49A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E33ED" w:rsidRPr="00A140EF" w14:paraId="246E0C2D" w14:textId="77777777" w:rsidTr="003F2AE2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A3726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5FBE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D2F0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B3601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37EBB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120920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1B8E1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9E6D9F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0,67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5D73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25 515 911,18</w:t>
            </w:r>
          </w:p>
        </w:tc>
      </w:tr>
      <w:tr w:rsidR="004E33ED" w:rsidRPr="00A140EF" w14:paraId="2B9E5EAC" w14:textId="77777777" w:rsidTr="003F2AE2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5D68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35A53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CE9DD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4703E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Кржижановского ул., д.8 к.2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D3C4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130621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2C67E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5A3C5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0,54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87CC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E33ED" w:rsidRPr="00A140EF" w14:paraId="6CE4023A" w14:textId="77777777" w:rsidTr="003F2AE2">
        <w:trPr>
          <w:trHeight w:val="5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2C3D9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05419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6E4BA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Академический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17C67" w14:textId="77777777" w:rsidR="004E33ED" w:rsidRPr="00A140EF" w:rsidRDefault="004E33ED" w:rsidP="003F2A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Ивана Бабушкина ул., д.3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E528E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711686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1B4D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E53C7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EE55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19 346 072,63</w:t>
            </w:r>
          </w:p>
        </w:tc>
      </w:tr>
      <w:tr w:rsidR="004E33ED" w:rsidRPr="00A140EF" w14:paraId="3EA8A586" w14:textId="77777777" w:rsidTr="003F2AE2">
        <w:trPr>
          <w:trHeight w:val="454"/>
        </w:trPr>
        <w:tc>
          <w:tcPr>
            <w:tcW w:w="2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3652A0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 по разделу: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C78C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31E8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7DC1E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3D18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64 951 074,59</w:t>
            </w:r>
          </w:p>
        </w:tc>
      </w:tr>
      <w:tr w:rsidR="004E33ED" w:rsidRPr="00A140EF" w14:paraId="7FC13DC0" w14:textId="77777777" w:rsidTr="003F2AE2">
        <w:trPr>
          <w:trHeight w:val="454"/>
        </w:trPr>
        <w:tc>
          <w:tcPr>
            <w:tcW w:w="28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2DD6B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5469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2A85C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1BB86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18,97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3BEF2" w14:textId="77777777" w:rsidR="004E33ED" w:rsidRPr="00A140EF" w:rsidRDefault="004E33ED" w:rsidP="003F2A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140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109 967 755,24</w:t>
            </w:r>
          </w:p>
        </w:tc>
      </w:tr>
    </w:tbl>
    <w:p w14:paraId="2610250B" w14:textId="789F6C1A" w:rsidR="009B6B10" w:rsidRPr="00D63735" w:rsidRDefault="009B6B10" w:rsidP="004E3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4966" w14:textId="77777777" w:rsidR="00862B18" w:rsidRDefault="00862B18" w:rsidP="008E7E50">
      <w:pPr>
        <w:spacing w:after="0" w:line="240" w:lineRule="auto"/>
      </w:pPr>
      <w:r>
        <w:separator/>
      </w:r>
    </w:p>
  </w:endnote>
  <w:endnote w:type="continuationSeparator" w:id="0">
    <w:p w14:paraId="30A206D3" w14:textId="77777777" w:rsidR="00862B18" w:rsidRDefault="00862B1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B7952" w14:textId="77777777" w:rsidR="00862B18" w:rsidRDefault="00862B18" w:rsidP="008E7E50">
      <w:pPr>
        <w:spacing w:after="0" w:line="240" w:lineRule="auto"/>
      </w:pPr>
      <w:r>
        <w:separator/>
      </w:r>
    </w:p>
  </w:footnote>
  <w:footnote w:type="continuationSeparator" w:id="0">
    <w:p w14:paraId="4B97A3C9" w14:textId="77777777" w:rsidR="00862B18" w:rsidRDefault="00862B18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2162B6A"/>
    <w:multiLevelType w:val="multilevel"/>
    <w:tmpl w:val="31A4C56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785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27AE2"/>
    <w:rsid w:val="001305AF"/>
    <w:rsid w:val="00133F98"/>
    <w:rsid w:val="0014158E"/>
    <w:rsid w:val="00143777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80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33ED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21C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744C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97B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2B18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590D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2D14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14C8"/>
    <w:rsid w:val="00AF2459"/>
    <w:rsid w:val="00AF3830"/>
    <w:rsid w:val="00B045F1"/>
    <w:rsid w:val="00B07055"/>
    <w:rsid w:val="00B13583"/>
    <w:rsid w:val="00B13FD9"/>
    <w:rsid w:val="00B14505"/>
    <w:rsid w:val="00B14C31"/>
    <w:rsid w:val="00B15B3B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47E0C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0AB5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1533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94B25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391C-1295-4C25-B6D4-ACEA7D3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2023-03-06T15:03:00Z</dcterms:created>
  <dcterms:modified xsi:type="dcterms:W3CDTF">2023-03-09T09:54:00Z</dcterms:modified>
</cp:coreProperties>
</file>