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769F5B0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9538D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05A09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1488A20" w14:textId="77777777" w:rsidR="005C6322" w:rsidRPr="007A0902" w:rsidRDefault="005C6322" w:rsidP="005C6322">
      <w:pPr>
        <w:spacing w:after="0" w:line="240" w:lineRule="auto"/>
        <w:ind w:right="4529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7A0902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Об </w:t>
      </w:r>
      <w:r w:rsidRPr="00FA66AF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утверждении Порядка представления, рассмотрения и утверждения годового отчета об исполнении бюджета </w:t>
      </w:r>
      <w:r w:rsidRPr="007A0902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муниципально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го </w:t>
      </w:r>
      <w:r w:rsidRPr="007A0902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округ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а</w:t>
      </w:r>
      <w:r w:rsidRPr="007A0902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Академический</w:t>
      </w:r>
    </w:p>
    <w:p w14:paraId="2325189E" w14:textId="612E3CB0" w:rsidR="00707F50" w:rsidRDefault="00707F50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1D06E86B" w14:textId="6B67F191" w:rsidR="005C6322" w:rsidRDefault="005C6322" w:rsidP="005C6322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 w:rsidRPr="007A090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соответствии </w:t>
      </w:r>
      <w:r w:rsidRPr="00FA66AF">
        <w:rPr>
          <w:rFonts w:ascii="Times New Roman" w:eastAsia="Calibri" w:hAnsi="Times New Roman"/>
          <w:color w:val="000000" w:themeColor="text1"/>
          <w:sz w:val="28"/>
          <w:szCs w:val="28"/>
        </w:rPr>
        <w:t>со статьями 9 и 264.5 Бюджетного кодекса Российской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FA66AF">
        <w:rPr>
          <w:rFonts w:ascii="Times New Roman" w:eastAsia="Calibri" w:hAnsi="Times New Roman"/>
          <w:color w:val="000000" w:themeColor="text1"/>
          <w:sz w:val="28"/>
          <w:szCs w:val="28"/>
        </w:rPr>
        <w:t>Федерации</w:t>
      </w:r>
      <w:r w:rsidRPr="007A090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пунктом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Pr="007A090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части 1 статьи 8 Закона города Москвы от 06.11.2002 №56 «Об организации местного самоуправления в город Москве», Законом города Москвы от 10.09.2008 №39 «О бюджетном устройстве и бюджетном процессе в городе Москве», пунктом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 w:rsidRPr="007A090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части 2 статьи 3 Устава муниципального округа Академический, </w:t>
      </w:r>
      <w:r w:rsidRPr="007A0902">
        <w:rPr>
          <w:rFonts w:ascii="Times New Roman" w:eastAsia="Calibri" w:hAnsi="Times New Roman"/>
          <w:b/>
          <w:bCs/>
          <w:i/>
          <w:color w:val="000000" w:themeColor="text1"/>
          <w:sz w:val="28"/>
          <w:szCs w:val="28"/>
        </w:rPr>
        <w:t>Совет депутатов муниципального округа Академический решил</w:t>
      </w:r>
      <w:r w:rsidRPr="007A0902">
        <w:rPr>
          <w:rFonts w:ascii="Times New Roman" w:eastAsia="Calibri" w:hAnsi="Times New Roman"/>
          <w:i/>
          <w:color w:val="000000" w:themeColor="text1"/>
          <w:sz w:val="28"/>
          <w:szCs w:val="28"/>
        </w:rPr>
        <w:t>:</w:t>
      </w:r>
    </w:p>
    <w:p w14:paraId="0DAB494E" w14:textId="77777777" w:rsidR="005C6322" w:rsidRPr="007A0902" w:rsidRDefault="005C6322" w:rsidP="005C632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D0F19ED" w14:textId="77777777" w:rsidR="005C6322" w:rsidRPr="007A0902" w:rsidRDefault="005C6322" w:rsidP="005C6322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7A090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1. Утвердить </w:t>
      </w:r>
      <w:r w:rsidRPr="00FA66AF">
        <w:rPr>
          <w:rFonts w:ascii="Times New Roman" w:eastAsia="Calibri" w:hAnsi="Times New Roman"/>
          <w:color w:val="000000" w:themeColor="text1"/>
          <w:sz w:val="28"/>
          <w:szCs w:val="28"/>
        </w:rPr>
        <w:t>Порядок представления, рассмотрения и утверждения годового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FA66AF">
        <w:rPr>
          <w:rFonts w:ascii="Times New Roman" w:eastAsia="Calibri" w:hAnsi="Times New Roman"/>
          <w:color w:val="000000" w:themeColor="text1"/>
          <w:sz w:val="28"/>
          <w:szCs w:val="28"/>
        </w:rPr>
        <w:t>отчета об исполнении бюджета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7A0902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го </w:t>
      </w:r>
      <w:r w:rsidRPr="007A0902">
        <w:rPr>
          <w:rFonts w:ascii="Times New Roman" w:eastAsia="Calibri" w:hAnsi="Times New Roman"/>
          <w:color w:val="000000" w:themeColor="text1"/>
          <w:sz w:val="28"/>
          <w:szCs w:val="28"/>
        </w:rPr>
        <w:t>округ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Pr="007A090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Академический (приложение)</w:t>
      </w:r>
      <w:r w:rsidRPr="007A0902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. </w:t>
      </w:r>
    </w:p>
    <w:p w14:paraId="376276C2" w14:textId="77777777" w:rsidR="005C6322" w:rsidRPr="007A0902" w:rsidRDefault="005C6322" w:rsidP="005C6322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1A470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772CC43" w14:textId="77777777" w:rsidR="005C6322" w:rsidRPr="007A0902" w:rsidRDefault="005C6322" w:rsidP="005C6322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0" w:name="_Hlk119695783"/>
      <w:r w:rsidRPr="007A0902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A0902">
        <w:rPr>
          <w:rFonts w:ascii="Times New Roman" w:hAnsi="Times New Roman"/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  <w:bookmarkEnd w:id="0"/>
    </w:p>
    <w:p w14:paraId="6A1313BC" w14:textId="77777777" w:rsidR="005C6322" w:rsidRPr="007A0902" w:rsidRDefault="005C6322" w:rsidP="005C6322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A0902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р</w:t>
      </w:r>
      <w:bookmarkStart w:id="1" w:name="_GoBack"/>
      <w:bookmarkEnd w:id="1"/>
      <w:r w:rsidRPr="007A0902">
        <w:rPr>
          <w:rFonts w:ascii="Times New Roman" w:hAnsi="Times New Roman"/>
          <w:color w:val="000000" w:themeColor="text1"/>
          <w:sz w:val="28"/>
          <w:szCs w:val="28"/>
        </w:rPr>
        <w:t>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F2AA3A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FD3D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F27F219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707F50">
          <w:pgSz w:w="11900" w:h="16800"/>
          <w:pgMar w:top="1134" w:right="1134" w:bottom="2269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634026F6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19538D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05A09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1930CAA1" w14:textId="77777777" w:rsidR="00496334" w:rsidRDefault="00496334" w:rsidP="004963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66A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 </w:t>
      </w:r>
    </w:p>
    <w:p w14:paraId="7FDA4013" w14:textId="77777777" w:rsidR="00496334" w:rsidRPr="007A0902" w:rsidRDefault="00496334" w:rsidP="0049633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66A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представления, рассмотрения и утверждения годового отчета об исполнении бюджета муниципального округа Академический</w:t>
      </w:r>
    </w:p>
    <w:p w14:paraId="72D924F1" w14:textId="77777777" w:rsidR="00496334" w:rsidRPr="007A0902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0F6B1E20" w14:textId="77777777" w:rsidR="00496334" w:rsidRPr="00331314" w:rsidRDefault="00496334" w:rsidP="004963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31314">
        <w:rPr>
          <w:rFonts w:ascii="Times New Roman" w:hAnsi="Times New Roman"/>
          <w:b/>
          <w:bCs/>
          <w:color w:val="000000" w:themeColor="text1"/>
          <w:sz w:val="28"/>
          <w:szCs w:val="28"/>
        </w:rPr>
        <w:t>1. Общие положения</w:t>
      </w:r>
    </w:p>
    <w:p w14:paraId="1B6F6CBF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Настоящий Порядок представления, рассмотрения и утверждения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314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Порядок, местный бюджет) разработан в соответствии со статьями 9 и 264.5 Бюджетного кодекса Российской Федерации, </w:t>
      </w:r>
      <w:r w:rsidRPr="00331314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пунктом 1 части 1 статьи 8 Закона города Москвы от 06.11.2002 №56 «Об организации местного самоуправления в городе Москве», Законом города Москвы от 10.09.2008 №39 «О бюджетном устройстве и бюджетном процессе в городе Москве», пунктом 1 части 2 статьи 3 Устава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Положением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бюджетном процессе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314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Pr="00331314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31314">
        <w:rPr>
          <w:rFonts w:ascii="Times New Roman" w:hAnsi="Times New Roman"/>
          <w:color w:val="000000" w:themeColor="text1"/>
          <w:sz w:val="28"/>
          <w:szCs w:val="28"/>
        </w:rPr>
        <w:t xml:space="preserve">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AB9AEE" w14:textId="77777777" w:rsidR="00496334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В рамках настоящего Порядка устанавливаются правила и сроки проведения внешней проверки, представления, рассмотрения и утверждения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3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за отчетный финансовый год.</w:t>
      </w:r>
    </w:p>
    <w:p w14:paraId="7E635122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2C79CA" w14:textId="77777777" w:rsidR="00496334" w:rsidRPr="00331314" w:rsidRDefault="00496334" w:rsidP="004963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31314">
        <w:rPr>
          <w:rFonts w:ascii="Times New Roman" w:hAnsi="Times New Roman"/>
          <w:b/>
          <w:bCs/>
          <w:color w:val="000000" w:themeColor="text1"/>
          <w:sz w:val="28"/>
          <w:szCs w:val="28"/>
        </w:rPr>
        <w:t>2. Внешняя проверка годового отчета об исполнении бюджета муниципального округа Академический за отчетный финансовый год</w:t>
      </w:r>
    </w:p>
    <w:p w14:paraId="1C491EB7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2.1.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Годовой отчет об исполнении бюджета </w:t>
      </w:r>
      <w:r w:rsidRPr="003313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до его рассмотрения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подлежит внешней проверке.</w:t>
      </w:r>
    </w:p>
    <w:p w14:paraId="3C2C0E46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2.2.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Внешняя проверка годового отчета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3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331314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палатой Москвы в соответствии с соглашением, заключенным Советом депутатов и Контрольно-счетной палатой Москвы о передаче ей полномочий по осуществлению внешнего муниципального финансового контроля, в порядке, установленном законом города Москвы,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14:paraId="012C6B53" w14:textId="77777777" w:rsidR="00496334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2.3.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1AA9">
        <w:rPr>
          <w:rFonts w:ascii="Times New Roman" w:hAnsi="Times New Roman"/>
          <w:color w:val="000000" w:themeColor="text1"/>
          <w:sz w:val="28"/>
          <w:szCs w:val="28"/>
        </w:rPr>
        <w:t>Аппарат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1AA9">
        <w:rPr>
          <w:rFonts w:ascii="Times New Roman" w:hAnsi="Times New Roman"/>
          <w:color w:val="000000" w:themeColor="text1"/>
          <w:sz w:val="28"/>
          <w:szCs w:val="28"/>
        </w:rPr>
        <w:t xml:space="preserve">Совета депутатов </w:t>
      </w:r>
      <w:r w:rsidRPr="00331314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годовой отчет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31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для подготовки заключения на него не позднее 1 апреля текущего финансового года.</w:t>
      </w:r>
    </w:p>
    <w:p w14:paraId="201E051A" w14:textId="77777777" w:rsidR="00496334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374">
        <w:rPr>
          <w:rFonts w:ascii="Times New Roman" w:hAnsi="Times New Roman"/>
          <w:color w:val="000000" w:themeColor="text1"/>
          <w:sz w:val="28"/>
          <w:szCs w:val="28"/>
        </w:rPr>
        <w:lastRenderedPageBreak/>
        <w:t>2.4.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1AA9">
        <w:rPr>
          <w:rFonts w:ascii="Times New Roman" w:hAnsi="Times New Roman"/>
          <w:color w:val="000000" w:themeColor="text1"/>
          <w:sz w:val="28"/>
          <w:szCs w:val="28"/>
        </w:rPr>
        <w:t xml:space="preserve">Годовой отчет об исполнении местного бюджета также направляется в </w:t>
      </w:r>
      <w:r w:rsidRPr="00E538A6">
        <w:rPr>
          <w:rFonts w:ascii="Times New Roman" w:hAnsi="Times New Roman"/>
          <w:color w:val="000000" w:themeColor="text1"/>
          <w:sz w:val="28"/>
          <w:szCs w:val="28"/>
        </w:rPr>
        <w:t>бюджетно-финансовую</w:t>
      </w:r>
      <w:r w:rsidRPr="00B01AA9">
        <w:rPr>
          <w:rFonts w:ascii="Times New Roman" w:hAnsi="Times New Roman"/>
          <w:color w:val="000000" w:themeColor="text1"/>
          <w:sz w:val="28"/>
          <w:szCs w:val="28"/>
        </w:rPr>
        <w:t xml:space="preserve"> комиссию Совета депутатов для подготовки заключения на него.</w:t>
      </w:r>
    </w:p>
    <w:p w14:paraId="3AB687E5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>Контрольно-счетн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 xml:space="preserve"> палат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 xml:space="preserve"> Москвы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готовит заключение на годовой отчет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данных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внешней проверки годовой бюджетной отчетности в срок, не превышающий один месяц.</w:t>
      </w:r>
    </w:p>
    <w:p w14:paraId="07882C2E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2.5.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Заключение на годовой отчет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>Контрольно-счетн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 xml:space="preserve"> палат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 xml:space="preserve"> Москвы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представляется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Совету депутатов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одновременным направлением в </w:t>
      </w:r>
      <w:r>
        <w:rPr>
          <w:rFonts w:ascii="Times New Roman" w:hAnsi="Times New Roman"/>
          <w:color w:val="000000" w:themeColor="text1"/>
          <w:sz w:val="28"/>
          <w:szCs w:val="28"/>
        </w:rPr>
        <w:t>аппарат Совета депутатов муниципального округа Академический.</w:t>
      </w:r>
    </w:p>
    <w:p w14:paraId="0E13A38D" w14:textId="77777777" w:rsidR="00496334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2.6.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После получения заключения 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>Контрольно-счетной палат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 xml:space="preserve"> Москвы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на годовой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отчет об исполнении 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 xml:space="preserve">аппарат Совета депутатов муниципального округа Академический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готовит проект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 xml:space="preserve">Совета депутатов муниципального округа Академический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об утверждении годового отчета об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отчетный финансовый год.</w:t>
      </w:r>
    </w:p>
    <w:p w14:paraId="22760C9A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CE2226" w14:textId="77777777" w:rsidR="00496334" w:rsidRPr="00107374" w:rsidRDefault="00496334" w:rsidP="004963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A9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Представление годового отчета об исполнении бюджета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0737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7000DA1A" w14:textId="77777777" w:rsidR="00496334" w:rsidRPr="000A6735" w:rsidRDefault="00496334" w:rsidP="0049633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BBC1087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3.1.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Годовой отчет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представляется 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>аппарат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(далее — </w:t>
      </w:r>
      <w:r>
        <w:rPr>
          <w:rFonts w:ascii="Times New Roman" w:hAnsi="Times New Roman"/>
          <w:color w:val="000000" w:themeColor="text1"/>
          <w:sz w:val="28"/>
          <w:szCs w:val="28"/>
        </w:rPr>
        <w:t>аппарат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)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Совет депутатов муниципального округа Академический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(далее - </w:t>
      </w:r>
      <w:r w:rsidRPr="00107374">
        <w:rPr>
          <w:rFonts w:ascii="Times New Roman" w:hAnsi="Times New Roman"/>
          <w:color w:val="000000" w:themeColor="text1"/>
          <w:sz w:val="28"/>
          <w:szCs w:val="28"/>
        </w:rPr>
        <w:t>Совет депутатов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) не позднее 1 мая текущего года для его последующего рассмотрения и утверждения.</w:t>
      </w:r>
    </w:p>
    <w:p w14:paraId="28D2F944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Одновременно с годовым отчетом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 депутатов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представляются:</w:t>
      </w:r>
    </w:p>
    <w:p w14:paraId="40B160AC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</w:t>
      </w:r>
      <w:r w:rsidRPr="007B35AA">
        <w:rPr>
          <w:rFonts w:ascii="Times New Roman" w:hAnsi="Times New Roman"/>
          <w:color w:val="000000" w:themeColor="text1"/>
          <w:sz w:val="28"/>
          <w:szCs w:val="28"/>
        </w:rPr>
        <w:t>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B35AA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об утверждении годового отчета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35AA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FD67E73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иная бюджетная отчетность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2BDE50F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иные документы, предусмотренные бюджетным законодательством Российской Федерации.</w:t>
      </w:r>
    </w:p>
    <w:p w14:paraId="1A093DDA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3.3.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В состав иной бюджетной отчетности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представляемой в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 депутатов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одновременно с годовым отчетом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, входят отчеты по формам, утвержденным приказом Министерства финансов Российской Федерации от 28.12.2010 № 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числе:</w:t>
      </w:r>
    </w:p>
    <w:p w14:paraId="6F96A005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баланс исполнения бюджета (форма 0503320);</w:t>
      </w:r>
    </w:p>
    <w:p w14:paraId="0085D921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отчет о финансовых результатах деятельности (форма 0503321);</w:t>
      </w:r>
    </w:p>
    <w:p w14:paraId="29E77D76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отчет о движении денежных средств (форма 0503323);</w:t>
      </w:r>
    </w:p>
    <w:p w14:paraId="30C4F3BB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 к отчету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EC72670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3.4.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К иным документам, предусмотренным бюджетным законодательством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указанным в подпункте 3.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. настоящего Порядка, относятся:</w:t>
      </w:r>
    </w:p>
    <w:p w14:paraId="091A5C30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об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использовании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бюджетных ассигнований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резервного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фонда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аппарата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финансовый год;</w:t>
      </w:r>
    </w:p>
    <w:p w14:paraId="534F4FD3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отчет о состоянии муниципального долга на начало и конец отчетного финансового года;</w:t>
      </w:r>
    </w:p>
    <w:p w14:paraId="24B6448F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численности муниципальных служащих органов местного самоуправления муниципального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>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1 января года, следующего за отчетным, с указанием фактических расходов на оплату их труда за отчетный финансовый год;</w:t>
      </w:r>
    </w:p>
    <w:p w14:paraId="7F70D725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сведения об использовании бюджетных ассигнований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14:paraId="26FAA54C" w14:textId="77777777" w:rsidR="00496334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прочие документы, предусмотренные бюджетным законодательством Российской Федерации.</w:t>
      </w:r>
    </w:p>
    <w:p w14:paraId="78A41C03" w14:textId="77777777" w:rsidR="00496334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3F36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A3F3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3F36">
        <w:rPr>
          <w:rFonts w:ascii="Times New Roman" w:hAnsi="Times New Roman"/>
          <w:color w:val="000000" w:themeColor="text1"/>
          <w:sz w:val="28"/>
          <w:szCs w:val="28"/>
        </w:rPr>
        <w:t>Проект решения об исполнении местного бюджета с приложением годового отчета об исполнении местного бюджета до его рассмотрения Советом депутатов выносится на публичные слушания в порядке, установленном Совета депутатов, подлежит официальному опубликованию в печатных средствах массовой информации в порядке, установленном Уставом муниципального округа для официального опубликования муниципальных правовых актов, а также подлежат размещению на официальном сайте муниципального округа в информационно-телекоммуникационной сети общего пользования в порядке, установленном Советом депутатов.</w:t>
      </w:r>
    </w:p>
    <w:p w14:paraId="4AD3A343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2B2B11" w14:textId="77777777" w:rsidR="00496334" w:rsidRPr="00107374" w:rsidRDefault="00496334" w:rsidP="004963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A9">
        <w:rPr>
          <w:rFonts w:ascii="Times New Roman" w:hAnsi="Times New Roman"/>
          <w:b/>
          <w:bCs/>
          <w:color w:val="000000" w:themeColor="text1"/>
          <w:sz w:val="28"/>
          <w:szCs w:val="28"/>
        </w:rPr>
        <w:t>4. Рассмотрение годового отчета об исполнении бюджета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07374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771FE9F6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4.1.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Рассмотрению годового отчета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предшествует процедура проведения публичных слушаний по проекту решения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Совета депутатов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об утверждении годового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тчета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033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за отчетный финансовый год.</w:t>
      </w:r>
    </w:p>
    <w:p w14:paraId="1E5F8AD0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4.2.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23E1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проекта решения </w:t>
      </w:r>
      <w:bookmarkStart w:id="2" w:name="_Hlk119699471"/>
      <w:r w:rsidRPr="003123E1">
        <w:rPr>
          <w:rFonts w:ascii="Times New Roman" w:hAnsi="Times New Roman"/>
          <w:color w:val="000000" w:themeColor="text1"/>
          <w:sz w:val="28"/>
          <w:szCs w:val="28"/>
        </w:rPr>
        <w:t xml:space="preserve">об исполнении местного бюджета </w:t>
      </w:r>
      <w:bookmarkEnd w:id="2"/>
      <w:r w:rsidRPr="003123E1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Советом депутатов после представления в Совет депутатов заключения Контрольно-счетной палаты города Москвы о результатах внешней проверки годового отчета об исполнении местного бюджета, заключения бюджетно-финансовой комиссии Совета депутатов на проект решения об исполнении местного бюджета, который может быть оформлен в виде протокола заседания указанной комиссии, и результатов публичных слушаний. </w:t>
      </w:r>
      <w:r w:rsidRPr="003123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Рассмотрение Советом депутатов проекта решения </w:t>
      </w:r>
      <w:r w:rsidRPr="00915BE3">
        <w:rPr>
          <w:rFonts w:ascii="Times New Roman" w:hAnsi="Times New Roman"/>
          <w:color w:val="000000" w:themeColor="text1"/>
          <w:sz w:val="28"/>
          <w:szCs w:val="28"/>
        </w:rPr>
        <w:t xml:space="preserve">об исполнении местного бюджета </w:t>
      </w:r>
      <w:r w:rsidRPr="003123E1">
        <w:rPr>
          <w:rFonts w:ascii="Times New Roman" w:hAnsi="Times New Roman"/>
          <w:color w:val="000000" w:themeColor="text1"/>
          <w:sz w:val="28"/>
          <w:szCs w:val="28"/>
        </w:rPr>
        <w:t>проводится не позднее 1 сентября текущего года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25D1E8F" w14:textId="77777777" w:rsidR="00496334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23E1">
        <w:rPr>
          <w:rFonts w:ascii="Times New Roman" w:hAnsi="Times New Roman"/>
          <w:color w:val="000000" w:themeColor="text1"/>
          <w:sz w:val="28"/>
          <w:szCs w:val="28"/>
        </w:rPr>
        <w:t>При рассмотрении проекта решения об исполнении бюджета Совет депутатов заслушивает доклад главы муниципального округа Академический и (или) уполномоченного им должностного лица Аппарата, а также информацию о результатах проведенной внешней проверки годового отчета об исполнении местного бюджета.</w:t>
      </w:r>
    </w:p>
    <w:p w14:paraId="596A3B59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4.4.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годового отчета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 депутатов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вправе принять одно из двух решений:</w:t>
      </w:r>
    </w:p>
    <w:p w14:paraId="5B73B8A5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решение об утверждении годового отчета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финансовый год;</w:t>
      </w:r>
    </w:p>
    <w:p w14:paraId="017F80B1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решение об отклонении годового отчета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финансовый год.</w:t>
      </w:r>
    </w:p>
    <w:p w14:paraId="1378A540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4.5.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Решение об отклонении годового отчета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финансовый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может быть принято в случае выявления отклонений показателей годового отчета об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утвержденных показателей решения о бюджете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0337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на соответствующий год, фактов недостоверного 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неполного отражения показателей исполнения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0337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Решение должно содержать мотивированное заключение об </w:t>
      </w:r>
      <w:r w:rsidRPr="00150024">
        <w:rPr>
          <w:rFonts w:ascii="Times New Roman" w:hAnsi="Times New Roman"/>
          <w:color w:val="000000" w:themeColor="text1"/>
          <w:sz w:val="28"/>
          <w:szCs w:val="28"/>
        </w:rPr>
        <w:t>отклонени</w:t>
      </w:r>
      <w:r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Pr="00150024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показателей годового отчета об исполнении бюджета муниципального округа Академический от утвержденных показателей решения о бюджете муниципального округа Академический на соответствующий год,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(или) </w:t>
      </w:r>
      <w:r w:rsidRPr="00150024">
        <w:rPr>
          <w:rFonts w:ascii="Times New Roman" w:hAnsi="Times New Roman"/>
          <w:color w:val="000000" w:themeColor="text1"/>
          <w:sz w:val="28"/>
          <w:szCs w:val="28"/>
        </w:rPr>
        <w:t>фактов недостоверного или неполного отражения показателей исполнения бюджета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6683C67" w14:textId="77777777" w:rsidR="00496334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4.6.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23E1">
        <w:rPr>
          <w:rFonts w:ascii="Times New Roman" w:hAnsi="Times New Roman"/>
          <w:color w:val="000000" w:themeColor="text1"/>
          <w:sz w:val="28"/>
          <w:szCs w:val="28"/>
        </w:rPr>
        <w:t>В случае отклонения решения об исполнении местного бюджета оно возвращается Аппарата для устранения фактов недостоверного или неполного отражения данных и повторного представления в срок, не превышающий один месяц. Повторное рассмотрение проекта решения об исполнении местного бюджета Советом депутатов проводится в срок не позднее одного месяца со дня повторного внесения указанного проекта на рассмотрение Совета депутатов.</w:t>
      </w:r>
    </w:p>
    <w:p w14:paraId="37E20A95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BCB913" w14:textId="77777777" w:rsidR="00496334" w:rsidRPr="002E0337" w:rsidRDefault="00496334" w:rsidP="004963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01AA9">
        <w:rPr>
          <w:rFonts w:ascii="Times New Roman" w:hAnsi="Times New Roman"/>
          <w:b/>
          <w:bCs/>
          <w:color w:val="000000" w:themeColor="text1"/>
          <w:sz w:val="28"/>
          <w:szCs w:val="28"/>
        </w:rPr>
        <w:t>5. Утверждение годового отчета об исполнении бюджета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E0337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6415063C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5.1.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При принятии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рассмотрения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годового отчета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0337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решения об утверждении отчета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финансовый год, в указанном решении утверждаются общий объем доходов, расходов и дефицита (профицита)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59D2136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5.2.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Отдельными приложениями к решению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Совета депутатов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об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утверждении годового отчета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35A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Академический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за отчетный финансовый год утверждаются показатели:</w:t>
      </w:r>
    </w:p>
    <w:p w14:paraId="480FE04B" w14:textId="77777777" w:rsidR="00496334" w:rsidRPr="003123E1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23E1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доходов местного бюджета по кодам классификации доходов бюджетов;</w:t>
      </w:r>
    </w:p>
    <w:p w14:paraId="241C889F" w14:textId="77777777" w:rsidR="00496334" w:rsidRPr="003123E1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23E1">
        <w:rPr>
          <w:rFonts w:ascii="Times New Roman" w:hAnsi="Times New Roman"/>
          <w:color w:val="000000" w:themeColor="text1"/>
          <w:sz w:val="28"/>
          <w:szCs w:val="28"/>
        </w:rPr>
        <w:t>расходов местного бюджета по ведомственной структуре расходов местного бюджета;</w:t>
      </w:r>
    </w:p>
    <w:p w14:paraId="75B1FA66" w14:textId="77777777" w:rsidR="00496334" w:rsidRPr="003123E1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23E1">
        <w:rPr>
          <w:rFonts w:ascii="Times New Roman" w:hAnsi="Times New Roman"/>
          <w:color w:val="000000" w:themeColor="text1"/>
          <w:sz w:val="28"/>
          <w:szCs w:val="28"/>
        </w:rPr>
        <w:t>расходов местного бюджета по разделам и подразделам классификации расходов бюджетов;</w:t>
      </w:r>
    </w:p>
    <w:p w14:paraId="47E01590" w14:textId="77777777" w:rsidR="00496334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23E1">
        <w:rPr>
          <w:rFonts w:ascii="Times New Roman" w:hAnsi="Times New Roman"/>
          <w:color w:val="000000" w:themeColor="text1"/>
          <w:sz w:val="28"/>
          <w:szCs w:val="28"/>
        </w:rPr>
        <w:t>источников финансирования дефицита местного бюджета по кодам классификации источников финансирования дефицитов бюджетов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AA80E8D" w14:textId="77777777" w:rsidR="00496334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6735">
        <w:rPr>
          <w:rFonts w:ascii="Times New Roman" w:hAnsi="Times New Roman"/>
          <w:color w:val="000000" w:themeColor="text1"/>
          <w:sz w:val="28"/>
          <w:szCs w:val="28"/>
        </w:rPr>
        <w:t>5.3.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Иные показатели (в форме отчетов, сведений, информации и др.), представленные </w:t>
      </w:r>
      <w:r>
        <w:rPr>
          <w:rFonts w:ascii="Times New Roman" w:hAnsi="Times New Roman"/>
          <w:color w:val="000000" w:themeColor="text1"/>
          <w:sz w:val="28"/>
          <w:szCs w:val="28"/>
        </w:rPr>
        <w:t>аппаратом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 депутатов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одновременно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>годовым отчетом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35AA">
        <w:rPr>
          <w:rFonts w:ascii="Times New Roman" w:hAnsi="Times New Roman"/>
          <w:color w:val="000000" w:themeColor="text1"/>
          <w:sz w:val="28"/>
          <w:szCs w:val="28"/>
        </w:rPr>
        <w:t>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, принимаются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к сведению и могут быть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утверждены решением </w:t>
      </w:r>
      <w:r>
        <w:rPr>
          <w:rFonts w:ascii="Times New Roman" w:hAnsi="Times New Roman"/>
          <w:color w:val="000000" w:themeColor="text1"/>
          <w:sz w:val="28"/>
          <w:szCs w:val="28"/>
        </w:rPr>
        <w:t>Совета депутатов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</w:t>
      </w:r>
      <w:r w:rsidRPr="000A6735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финансовый год в виде отдельных приложений.</w:t>
      </w:r>
    </w:p>
    <w:p w14:paraId="1C431DE0" w14:textId="77777777" w:rsidR="00496334" w:rsidRPr="000A6735" w:rsidRDefault="00496334" w:rsidP="004963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5.4. </w:t>
      </w:r>
      <w:r w:rsidRPr="003123E1">
        <w:rPr>
          <w:rFonts w:ascii="Times New Roman" w:hAnsi="Times New Roman"/>
          <w:color w:val="000000" w:themeColor="text1"/>
          <w:sz w:val="28"/>
          <w:szCs w:val="28"/>
        </w:rPr>
        <w:t>Решение об исполнении местного бюджета подлежит официальному опубликованию в печатных средствах массовой информации не позднее десяти дней после его принятия в порядке, установленном Уставом муниципального округа для официального опубликования муниципальных правовых актов, а также подлежит размещению на официальном сайте муниципального округа в информационно-телекоммуникационной сети общего пользования в порядке, установленном Советом депутатов, в сроки, указанные в настоящем пункте для официального опубликования в печатных средствах массовой информации.</w:t>
      </w: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27271" w14:textId="77777777" w:rsidR="00F12ECB" w:rsidRDefault="00F12ECB" w:rsidP="008E7E50">
      <w:pPr>
        <w:spacing w:after="0" w:line="240" w:lineRule="auto"/>
      </w:pPr>
      <w:r>
        <w:separator/>
      </w:r>
    </w:p>
  </w:endnote>
  <w:endnote w:type="continuationSeparator" w:id="0">
    <w:p w14:paraId="579163D7" w14:textId="77777777" w:rsidR="00F12ECB" w:rsidRDefault="00F12EC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FCB6" w14:textId="77777777" w:rsidR="00F12ECB" w:rsidRDefault="00F12ECB" w:rsidP="008E7E50">
      <w:pPr>
        <w:spacing w:after="0" w:line="240" w:lineRule="auto"/>
      </w:pPr>
      <w:r>
        <w:separator/>
      </w:r>
    </w:p>
  </w:footnote>
  <w:footnote w:type="continuationSeparator" w:id="0">
    <w:p w14:paraId="2635DB85" w14:textId="77777777" w:rsidR="00F12ECB" w:rsidRDefault="00F12EC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471B61"/>
    <w:multiLevelType w:val="hybridMultilevel"/>
    <w:tmpl w:val="8D50B1F2"/>
    <w:lvl w:ilvl="0" w:tplc="741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8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38D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195C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33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C632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4E65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07F50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5A09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0743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5F97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2ECB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0F01-A275-4A86-89F6-CD22B4BF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2022-11-14T11:00:00Z</cp:lastPrinted>
  <dcterms:created xsi:type="dcterms:W3CDTF">2022-11-30T10:05:00Z</dcterms:created>
  <dcterms:modified xsi:type="dcterms:W3CDTF">2022-11-30T10:17:00Z</dcterms:modified>
</cp:coreProperties>
</file>